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pPr>
      <w:hyperlink r:id="rId11">
        <w:r>
          <w:rPr>
            <w:rStyle w:val="Style_16"/>
            <w:rFonts w:ascii="Times New Roman CYR" w:hAnsi="Times New Roman CYR" w:eastAsia="Times New Roman CYR" w:cs="Times New Roman CYR"/>
            <w:b w:val="0"/>
            <w:bCs w:val="0"/>
            <w:color w:val="106bbe"/>
            <w:sz w:val="24"/>
            <w:szCs w:val="24"/>
            <w:lang w:val="ru-RU" w:bidi="ru-RU"/>
          </w:rPr>
          <w:t xml:space="preserve">Постановление Думы Ханты-Мансийского АО - Югры от 28 мая 2020 г. N 1260 "Об утверждении формы предварительного уведомления Думы Ханты-Мансийского автономного округа - Югры депутатом Думы Ханты-Мансийского автономного округа - Югры, осуществляющим свои полномочия на профессиональной постоянной основе, об участии на безвозмездной основе в управлении некоммерческой организацией"</w:t>
        </w:r>
      </w:hyperlink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В соответствии с </w:t>
      </w:r>
      <w:hyperlink r:id="rId12"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пунктом 2 части 3.3 статьи 12.1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Федерального закона "О противодействии коррупции", </w:t>
      </w:r>
      <w:hyperlink r:id="rId13"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подпунктом 2 пункта 1.1 статьи 8.1.1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Закона Ханты-Мансийского автономного округа - Югры "О мерах по противодействию коррупции в Ханты-Мансийском автономном округе - Югре", руководствуясь </w:t>
      </w:r>
      <w:hyperlink r:id="rId14"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пунктом 4 статьи 29 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Устава (Основного закона) Ханты-Мансийского автономного округа - Югры, Дума Ханты-Мансийского автономного округа - Югры постановляет: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bookmarkStart w:id="1" w:name="sub_1"/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1. Утвердить </w:t>
      </w:r>
      <w:hyperlink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форму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предварительного уведомления Думы Ханты-Мансийского автономного округа - Югры депутатом Думы Ханты-Мансийского автономного округа - Югры, осуществляющим свои полномочия на профессиональной постоянной основе, об участии на безвозмездной основе в управлении некоммерческой организацией (прилагается).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bookmarkStart w:id="2" w:name="sub_2"/>
      <w:bookmarkEnd w:id="1"/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2. Настоящее Постановление вступает в силу с 8 июня 2020 года и подлежит </w:t>
      </w:r>
      <w:hyperlink r:id="rId15"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официальному опубликованию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bookmarkEnd w:id="2"/>
    </w:p>
    <w:tbl>
      <w:tblPr>
        <w:tblStyle w:val="Style_11"/>
        <w:tblW w:w="5000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7010"/>
        <w:gridCol w:w="3506"/>
      </w:tblGrid>
      <w:tr>
        <w:tc>
          <w:tcPr>
            <w:tcW w:w="701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Председатель Думы</w:t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Ханты-Мансийского</w:t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автономного округа - Югры</w:t>
            </w:r>
          </w:p>
        </w:tc>
        <w:tc>
          <w:tcPr>
            <w:tcW w:w="3506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right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Б.С.</w:t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Хохряков</w:t>
            </w:r>
          </w:p>
        </w:tc>
      </w:tr>
    </w:tbl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г.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Ханты-Мансийск</w:t>
      </w: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28 мая 2020 года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N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1260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p>
      <w:pPr>
        <w:spacing w:before="0" w:after="0" w:line="240" w:lineRule="auto"/>
        <w:ind w:left="0" w:right="0" w:firstLine="720"/>
        <w:jc w:val="right"/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</w:pPr>
      <w:bookmarkStart w:id="3" w:name="sub_1000"/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Приложение</w:t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br/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к </w:t>
      </w:r>
      <w:hyperlink>
        <w:r>
          <w:rPr>
            <w:rStyle w:val="Style_16"/>
            <w:rFonts w:ascii="Arial" w:hAnsi="Arial" w:eastAsia="Arial" w:cs="Arial"/>
            <w:color w:val="106bbe"/>
            <w:sz w:val="24"/>
            <w:szCs w:val="24"/>
            <w:lang w:val="ru-RU" w:bidi="ru-RU"/>
          </w:rPr>
          <w:t xml:space="preserve">постановлению</w:t>
        </w:r>
      </w:hyperlink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 Думы</w:t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br/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Ханты-Мансийского</w:t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br/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автономного округа - Югры</w:t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br/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от 28 мая 2020 года N</w:t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 </w:t>
      </w:r>
      <w:r>
        <w:rPr>
          <w:rStyle w:val="Style_15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  <w:t xml:space="preserve">1260</w:t>
      </w:r>
    </w:p>
    <w:p>
      <w:pPr>
        <w:spacing w:before="0" w:after="0" w:line="240" w:lineRule="auto"/>
        <w:ind w:left="0" w:right="0" w:firstLine="720"/>
        <w:jc w:val="both"/>
        <w:rPr>
          <w:rFonts w:ascii="Arial" w:hAnsi="Arial" w:eastAsia="Arial" w:cs="Arial"/>
          <w:sz w:val="24"/>
          <w:szCs w:val="24"/>
          <w:lang w:val="ru-RU" w:bidi="ru-RU"/>
        </w:rPr>
      </w:pPr>
      <w:bookmarkEnd w:id="3"/>
    </w:p>
    <w:tbl>
      <w:tblPr>
        <w:tblStyle w:val="Style_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040"/>
        <w:gridCol w:w="4900"/>
      </w:tblGrid>
      <w:tr>
        <w:tc>
          <w:tcPr>
            <w:tcW w:w="504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sz w:val="24"/>
                <w:szCs w:val="24"/>
                <w:lang w:val="ru-RU" w:bidi="ru-RU"/>
              </w:rPr>
            </w:pPr>
          </w:p>
        </w:tc>
        <w:tc>
          <w:tcPr>
            <w:tcW w:w="490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Председателю Думы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Ханты-Мансийского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автономного округа - Югры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Хохрякову</w:t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Б.С.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от _______________________________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center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(фамилия, имя, отчество депутата Думы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_________________________________</w:t>
            </w:r>
          </w:p>
          <w:p>
            <w:pPr>
              <w:pStyle w:val="Style_18"/>
              <w:spacing w:before="0" w:after="0" w:line="240" w:lineRule="auto"/>
              <w:ind w:left="0" w:right="0" w:firstLine="0"/>
              <w:jc w:val="center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автономного округа полностью в родительном падеже)</w:t>
            </w:r>
          </w:p>
        </w:tc>
      </w:tr>
    </w:tbl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p>
      <w:pPr>
        <w:pStyle w:val="Style_1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Предварительное уведомление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br/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Думы Ханты-Мансийского автономного округа - Югры депутатом Думы Ханты-Мансийского автономного округа - Югры, осуществляющим свои полномочия на профессиональной постоянной основе, об участии на безвозмездной основе в управлении некоммерческой организацией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В соответствии с </w:t>
      </w:r>
      <w:hyperlink r:id="rId16"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пунктом 2 части 3.3 статьи 12.1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Федерального закона "О противодействии коррупции", </w:t>
      </w:r>
      <w:hyperlink r:id="rId17">
        <w:r>
          <w:rPr>
            <w:rStyle w:val="Style_16"/>
            <w:rFonts w:ascii="Times New Roman CYR" w:hAnsi="Times New Roman CYR" w:eastAsia="Times New Roman CYR" w:cs="Times New Roman CYR"/>
            <w:color w:val="106bbe"/>
            <w:sz w:val="24"/>
            <w:szCs w:val="24"/>
            <w:lang w:val="ru-RU" w:bidi="ru-RU"/>
          </w:rPr>
          <w:t xml:space="preserve">подпунктом 2 пункта 1.1 статьи 8.1.1</w:t>
        </w:r>
      </w:hyperlink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Закона Ханты-Мансийского автономного округа - Югры "О мерах по противодействию коррупции в Ханты-Мансийском автономном округе - Югре" уведомляю о намерении участвовать на безвозмездной основе в управлении некоммерческой организацией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__________________________________________________________________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(наименование некоммерческой организации, адрес,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__________________________________________________________________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ИНН, основной вид деятельности,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наименование органа управления и его полномочия,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__________________________________________________________________.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срок, в течение которого планируется участвовать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в управлении некоммерческой организацией, иное)</w:t>
      </w: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tbl>
      <w:tblPr>
        <w:tblStyle w:val="Style_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220"/>
        <w:gridCol w:w="2940"/>
        <w:gridCol w:w="3780"/>
      </w:tblGrid>
      <w:tr>
        <w:tc>
          <w:tcPr>
            <w:tcW w:w="322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"____" __________ 20__ г.</w:t>
            </w:r>
          </w:p>
        </w:tc>
        <w:tc>
          <w:tcPr>
            <w:tcW w:w="294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____________________</w:t>
            </w:r>
          </w:p>
        </w:tc>
        <w:tc>
          <w:tcPr>
            <w:tcW w:w="378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__________________________</w:t>
            </w:r>
          </w:p>
        </w:tc>
      </w:tr>
      <w:tr>
        <w:tc>
          <w:tcPr>
            <w:tcW w:w="322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both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</w:p>
        </w:tc>
        <w:tc>
          <w:tcPr>
            <w:tcW w:w="294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center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(подпись депутата Думы автономного округа)</w:t>
            </w:r>
          </w:p>
        </w:tc>
        <w:tc>
          <w:tcPr>
            <w:tcW w:w="378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pStyle w:val="Style_18"/>
              <w:spacing w:before="0" w:after="0" w:line="240" w:lineRule="auto"/>
              <w:ind w:left="0" w:right="0" w:firstLine="0"/>
              <w:jc w:val="center"/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  <w:szCs w:val="24"/>
                <w:lang w:val="ru-RU" w:bidi="ru-RU"/>
              </w:rPr>
              <w:t xml:space="preserve">(расшифровка подписи депутата Думы автономного округа)</w:t>
            </w:r>
          </w:p>
        </w:tc>
      </w:tr>
    </w:tbl>
    <w:p>
      <w:pPr>
        <w:spacing w:before="0" w:after="0" w:line="240" w:lineRule="auto"/>
        <w:ind w:left="0" w:right="0" w:firstLine="720"/>
        <w:jc w:val="both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</w:p>
    <w:sectPr>
      <w:headerReference w:type="default" r:id="rId9"/>
      <w:footerReference w:type="default" r:id="rId10"/>
      <w:footnotePr>
        <w:pos w:val="pageBottom"/>
      </w:footnotePr>
      <w:type w:val="nextPage"/>
      <w:pgSz w:w="11900" w:h="16800"/>
      <w:pgMar w:top="1440" w:right="800" w:bottom="1440" w:left="800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 Light">
    <w:panose1 w:val="020F0302020204030204"/>
  </w:font>
  <w:font w:name="Calibri">
    <w:panose1 w:val="020F0502020204030204"/>
  </w:font>
  <w:font w:name="Times New Roman CYR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Style_11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  <w:tblGrid>
      <w:gridCol w:w="3436"/>
      <w:gridCol w:w="3432"/>
      <w:gridCol w:w="3432"/>
    </w:tblGrid>
    <w:tr>
      <w:tc>
        <w:tcPr>
          <w:tcW w:w="3436" w:type="dxa"/>
          <w:tcBorders>
            <w:top w:val="none"/>
            <w:left w:val="none"/>
            <w:bottom w:val="none"/>
            <w:right w:val="none"/>
          </w:tcBorders>
          <w:shd w:val="nil"/>
          <w:textDirection w:val="lrTb"/>
          <w:vAlign w:val="top"/>
        </w:tcPr>
        <w:p>
          <w:pPr>
            <w:spacing w:before="0" w:after="0" w:line="240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instrText xml:space="preserve">CREATEDATE  \@ "dd.MM.yyyy"  \* MERGEFORMAT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t xml:space="preserve"> 08.10.202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t xml:space="preserve">4 </w:t>
          </w:r>
        </w:p>
      </w:tc>
      <w:tc>
        <w:tcPr>
          <w:tcW w:w="3432" w:type="dxa"/>
          <w:tcBorders>
            <w:top w:val="none"/>
            <w:left w:val="none"/>
            <w:bottom w:val="none"/>
            <w:right w:val="none"/>
          </w:tcBorders>
          <w:shd w:val="nil"/>
          <w:textDirection w:val="lrTb"/>
          <w:vAlign w:val="top"/>
        </w:tcPr>
        <w:p>
          <w:pPr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t xml:space="preserve">Система ГАРАНТ</w:t>
          </w:r>
        </w:p>
      </w:tc>
      <w:tc>
        <w:tcPr>
          <w:tcW w:w="3432" w:type="dxa"/>
          <w:tcBorders>
            <w:top w:val="none"/>
            <w:left w:val="none"/>
            <w:bottom w:val="none"/>
            <w:right w:val="none"/>
          </w:tcBorders>
          <w:shd w:val="nil"/>
          <w:textDirection w:val="lrTb"/>
          <w:vAlign w:val="top"/>
        </w:tcPr>
        <w:p>
          <w:pPr>
            <w:spacing w:before="0" w:after="0" w:line="240" w:lineRule="auto"/>
            <w:ind w:left="0" w:right="0" w:firstLine="0"/>
            <w:jc w:val="right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instrText xml:space="preserve">PAGE  \* MERGEFORMAT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t xml:space="preserve">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t xml:space="preserve">/</w:t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instrText xml:space="preserve">NUMPAGES  \* Arabic  \* MERGEFORMAT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  <w:t xml:space="preserve">2</w:t>
          </w:r>
          <w:r>
            <w:fldChar w:fldCharType="end"/>
          </w:r>
        </w:p>
      </w:tc>
    </w:tr>
  </w:tbl>
  <w:p>
    <w:pPr>
      <w:jc w:val="left"/>
      <w:rPr>
        <w:rFonts w:ascii="Times New Roman" w:hAnsi="Times New Roman" w:eastAsia="Times New Roman" w:cs="Times New Roman"/>
        <w:lang w:val="ru-RU" w:bidi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  <w:t xml:space="preserve">Постановление Думы Ханты-Мансийского АО - Югры от 28 мая 2020 г. N 1260 "Об утверждении формы…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9274983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decimal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1859274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forgetLastTabAlignment w:val="true"/>
    <w:doNotUseHTMLParagraphAutoSpacing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bidi="ru-RU"/>
      </w:rPr>
    </w:rPrDefault>
    <w:pPrDefault>
      <w:pPr>
        <w:spacing w:before="0" w:after="160" w:line="259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 w:firstLine="72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Style_1">
    <w:name w:val="heading 1"/>
    <w:basedOn w:val="Style_0"/>
    <w:qFormat/>
    <w:pPr>
      <w:spacing w:before="108" w:after="108" w:line="240" w:lineRule="auto"/>
      <w:ind w:left="0" w:right="0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 CYR" w:hAnsi="Times New Roman CYR" w:eastAsia="Times New Roman CYR" w:cs="Times New Roman CYR"/>
      <w:b/>
      <w:bCs/>
      <w:color w:val="26282f"/>
      <w:sz w:val="24"/>
      <w:szCs w:val="24"/>
      <w:lang w:val="ru-RU" w:bidi="ru-RU"/>
    </w:rPr>
  </w:style>
  <w:style w:type="character" w:styleId="Style_10">
    <w:name w:val="Default Paragraph Font"/>
    <w:uiPriority w:val="1"/>
    <w:semiHidden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160" w:line="259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Цветовое выделение"/>
    <w:rPr>
      <w:rFonts w:ascii="Times New Roman" w:hAnsi="Times New Roman" w:eastAsia="Times New Roman" w:cs="Times New Roman"/>
      <w:b/>
      <w:bCs/>
      <w:color w:val="26282f"/>
      <w:sz w:val="24"/>
      <w:szCs w:val="24"/>
      <w:lang w:val="ru-RU" w:bidi="ru-RU"/>
    </w:rPr>
  </w:style>
  <w:style w:type="character" w:styleId="Style_16">
    <w:name w:val="Гипертекстовая ссылка"/>
    <w:basedOn w:val="Style_15"/>
    <w:rPr>
      <w:rFonts w:ascii="Times New Roman" w:hAnsi="Times New Roman" w:eastAsia="Times New Roman" w:cs="Times New Roman"/>
      <w:b w:val="0"/>
      <w:bCs w:val="0"/>
      <w:color w:val="106bbe"/>
      <w:sz w:val="24"/>
      <w:szCs w:val="24"/>
      <w:lang w:val="ru-RU" w:bidi="ru-RU"/>
    </w:rPr>
  </w:style>
  <w:style w:type="character" w:styleId="Style_17">
    <w:name w:val="Заголовок 1 Знак"/>
    <w:basedOn w:val="Style_10"/>
    <w:uiPriority w:val="9"/>
    <w:locked/>
    <w:rPr>
      <w:rFonts w:ascii="Calibri Light" w:hAnsi="Calibri Light" w:eastAsia="Calibri Light" w:cs="Calibri Light"/>
      <w:b/>
      <w:bCs/>
      <w:sz w:val="32"/>
      <w:szCs w:val="32"/>
      <w:lang w:val="ru-RU" w:bidi="ru-RU"/>
    </w:rPr>
  </w:style>
  <w:style w:type="paragraph" w:styleId="Style_18">
    <w:name w:val="Нормальный (таблица)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Style_19">
    <w:name w:val="Прижатый влево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Style_20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Style_21">
    <w:name w:val="header"/>
    <w:basedOn w:val="Style_0"/>
    <w:semiHidden/>
    <w:unhideWhenUsed/>
    <w:pPr>
      <w:tabs>
        <w:tab w:val="center" w:pos="4677"/>
        <w:tab w:val="right" w:pos="9355"/>
      </w:tabs>
      <w:spacing w:before="0" w:after="0" w:line="240" w:lineRule="auto"/>
      <w:ind w:left="0" w:right="0" w:firstLine="72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Style_22">
    <w:name w:val="Верхний колонтитул Знак"/>
    <w:basedOn w:val="Style_10"/>
    <w:semiHidden/>
    <w:locked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Style_23">
    <w:name w:val="footer"/>
    <w:basedOn w:val="Style_0"/>
    <w:semiHidden/>
    <w:unhideWhenUsed/>
    <w:pPr>
      <w:tabs>
        <w:tab w:val="center" w:pos="4677"/>
        <w:tab w:val="right" w:pos="9355"/>
      </w:tabs>
      <w:spacing w:before="0" w:after="0" w:line="240" w:lineRule="auto"/>
      <w:ind w:left="0" w:right="0" w:firstLine="72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Style_24">
    <w:name w:val="Нижний колонтитул Знак"/>
    <w:basedOn w:val="Style_10"/>
    <w:semiHidden/>
    <w:locked/>
    <w:rPr>
      <w:rFonts w:ascii="Times New Roman CYR" w:hAnsi="Times New Roman CYR" w:eastAsia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10.86.0.20/document/redirect/74193037/0" TargetMode="External"/><Relationship Id="rId12" Type="http://schemas.openxmlformats.org/officeDocument/2006/relationships/hyperlink" Target="http://10.86.0.20/document/redirect/12164203/1213302" TargetMode="External"/><Relationship Id="rId13" Type="http://schemas.openxmlformats.org/officeDocument/2006/relationships/hyperlink" Target="http://10.86.0.20/document/redirect/18925070/112" TargetMode="External"/><Relationship Id="rId14" Type="http://schemas.openxmlformats.org/officeDocument/2006/relationships/hyperlink" Target="http://10.86.0.20/document/redirect/18909884/429" TargetMode="External"/><Relationship Id="rId15" Type="http://schemas.openxmlformats.org/officeDocument/2006/relationships/hyperlink" Target="http://10.86.0.20/document/redirect/74193038/0" TargetMode="External"/><Relationship Id="rId16" Type="http://schemas.openxmlformats.org/officeDocument/2006/relationships/hyperlink" Target="http://10.86.0.20/document/redirect/12164203/1213302" TargetMode="External"/><Relationship Id="rId17" Type="http://schemas.openxmlformats.org/officeDocument/2006/relationships/hyperlink" Target="http://10.86.0.20/document/redirect/18925070/1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WithSpaces>3079</CharactersWithSpaces>
  <DocSecurity>0</DocSecurity>
  <HyperlinksChanged>false</HyperlinksChanged>
  <LinksUpToDate>false</LinksUpToDate>
  <Pages>2</Pages>
  <ScaleCrop>false</ScaleCrop>
  <SharedDoc>false</SharedDoc>
  <TotalTime>0</TotalTime>
  <Words>540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/>
</cp:coreProperties>
</file>